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D62" w:rsidRDefault="0094778E" w:rsidP="00A13D62">
      <w:pPr>
        <w:tabs>
          <w:tab w:val="right" w:pos="9638"/>
        </w:tabs>
        <w:rPr>
          <w:rFonts w:ascii="Arial" w:hAnsi="Arial" w:cs="Arial"/>
          <w:b/>
          <w:bCs/>
          <w:sz w:val="24"/>
        </w:rPr>
      </w:pPr>
      <w:bookmarkStart w:id="0" w:name="historyclause"/>
      <w:bookmarkStart w:id="1" w:name="_Toc383764588"/>
      <w:bookmarkStart w:id="2" w:name="_GoBack"/>
      <w:bookmarkEnd w:id="2"/>
      <w:r w:rsidRPr="0094778E">
        <w:rPr>
          <w:rFonts w:ascii="Arial" w:hAnsi="Arial" w:cs="Arial"/>
          <w:b/>
          <w:bCs/>
          <w:sz w:val="24"/>
        </w:rPr>
        <w:t>3GPP TSG-RAN WG2 Meeting #113bis-e</w:t>
      </w:r>
      <w:r>
        <w:rPr>
          <w:rFonts w:ascii="Arial" w:hAnsi="Arial" w:cs="Arial"/>
          <w:b/>
          <w:bCs/>
          <w:sz w:val="24"/>
        </w:rPr>
        <w:tab/>
      </w:r>
      <w:r w:rsidR="00561B3B" w:rsidRPr="00561B3B">
        <w:rPr>
          <w:rFonts w:ascii="Arial" w:hAnsi="Arial" w:cs="Arial"/>
          <w:b/>
          <w:bCs/>
          <w:sz w:val="24"/>
        </w:rPr>
        <w:t>R2-2103784</w:t>
      </w:r>
    </w:p>
    <w:p w:rsidR="00A13D62" w:rsidRDefault="0094778E" w:rsidP="00A13D62">
      <w:pPr>
        <w:keepNext/>
        <w:pBdr>
          <w:bottom w:val="single" w:sz="6" w:space="0" w:color="auto"/>
        </w:pBdr>
        <w:tabs>
          <w:tab w:val="right" w:pos="9638"/>
        </w:tabs>
        <w:rPr>
          <w:rFonts w:ascii="Arial" w:hAnsi="Arial" w:cs="Arial"/>
          <w:b/>
          <w:bCs/>
          <w:sz w:val="24"/>
          <w:szCs w:val="24"/>
        </w:rPr>
      </w:pPr>
      <w:r w:rsidRPr="0094778E">
        <w:rPr>
          <w:rFonts w:ascii="Arial" w:hAnsi="Arial" w:cs="Arial"/>
          <w:b/>
          <w:bCs/>
          <w:sz w:val="24"/>
          <w:szCs w:val="24"/>
        </w:rPr>
        <w:t>Online, April 12 – April 20, 2021</w:t>
      </w:r>
    </w:p>
    <w:p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94778E" w:rsidRPr="0094778E">
        <w:rPr>
          <w:rFonts w:ascii="Arial" w:hAnsi="Arial" w:cs="Arial"/>
          <w:b/>
          <w:bCs/>
          <w:color w:val="120100"/>
          <w:szCs w:val="18"/>
          <w:lang w:val="en-US"/>
        </w:rPr>
        <w:t>On RRM relaxation for RedCap devices</w:t>
      </w:r>
    </w:p>
    <w:p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Agenda item</w:t>
      </w:r>
      <w:r>
        <w:rPr>
          <w:rFonts w:ascii="Arial" w:hAnsi="Arial" w:cs="Arial"/>
          <w:b/>
          <w:bCs/>
          <w:color w:val="120100"/>
          <w:szCs w:val="18"/>
          <w:lang w:val="en-US"/>
        </w:rPr>
        <w:t>s</w:t>
      </w:r>
      <w:r w:rsidRPr="00695C4D">
        <w:rPr>
          <w:rFonts w:ascii="Arial" w:hAnsi="Arial" w:cs="Arial"/>
          <w:b/>
          <w:bCs/>
          <w:color w:val="120100"/>
          <w:szCs w:val="18"/>
          <w:lang w:val="en-US"/>
        </w:rPr>
        <w:t>:</w:t>
      </w:r>
      <w:r>
        <w:rPr>
          <w:rFonts w:ascii="Arial" w:hAnsi="Arial" w:cs="Arial"/>
          <w:b/>
          <w:bCs/>
          <w:color w:val="120100"/>
          <w:szCs w:val="18"/>
          <w:lang w:val="en-US"/>
        </w:rPr>
        <w:t xml:space="preserve"> </w:t>
      </w:r>
      <w:r>
        <w:rPr>
          <w:rFonts w:ascii="Arial" w:hAnsi="Arial" w:cs="Arial"/>
          <w:b/>
          <w:bCs/>
          <w:color w:val="120100"/>
          <w:szCs w:val="18"/>
          <w:lang w:val="en-US"/>
        </w:rPr>
        <w:tab/>
      </w:r>
      <w:r w:rsidR="0094778E">
        <w:rPr>
          <w:rFonts w:ascii="Arial" w:hAnsi="Arial" w:cs="Arial"/>
          <w:b/>
          <w:bCs/>
          <w:szCs w:val="18"/>
          <w:lang w:val="en-US"/>
        </w:rPr>
        <w:t>8.12.3.2</w:t>
      </w:r>
    </w:p>
    <w:p w:rsidR="00A13D62" w:rsidRDefault="00A13D62" w:rsidP="00A13D62">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r>
      <w:r w:rsidR="0094778E">
        <w:rPr>
          <w:rFonts w:ascii="Arial" w:hAnsi="Arial" w:cs="Arial"/>
          <w:b/>
          <w:bCs/>
          <w:color w:val="120100"/>
          <w:szCs w:val="18"/>
          <w:lang w:val="en-US"/>
        </w:rPr>
        <w:t xml:space="preserve">Discussion and </w:t>
      </w:r>
      <w:r w:rsidR="00EC5EB7" w:rsidRPr="00EC5EB7">
        <w:rPr>
          <w:rFonts w:ascii="Arial" w:hAnsi="Arial" w:cs="Arial"/>
          <w:b/>
          <w:bCs/>
          <w:color w:val="120100"/>
          <w:szCs w:val="18"/>
          <w:lang w:val="en-US"/>
        </w:rPr>
        <w:t>Decision</w:t>
      </w:r>
    </w:p>
    <w:bookmarkEnd w:id="0"/>
    <w:bookmarkEnd w:id="1"/>
    <w:p w:rsidR="002D44AF" w:rsidRPr="00C10411" w:rsidRDefault="002D44AF" w:rsidP="002D44AF">
      <w:pPr>
        <w:pStyle w:val="Heading1"/>
      </w:pPr>
      <w:r>
        <w:rPr>
          <w:rFonts w:hint="eastAsia"/>
          <w:lang w:eastAsia="zh-TW"/>
        </w:rPr>
        <w:t>Introduction</w:t>
      </w:r>
    </w:p>
    <w:p w:rsidR="00F37A29" w:rsidRDefault="00F37A29" w:rsidP="004D0D1C">
      <w:pPr>
        <w:tabs>
          <w:tab w:val="num" w:pos="2160"/>
        </w:tabs>
        <w:spacing w:after="0"/>
        <w:jc w:val="both"/>
        <w:rPr>
          <w:bCs/>
        </w:rPr>
      </w:pPr>
      <w:r>
        <w:rPr>
          <w:bCs/>
        </w:rPr>
        <w:t xml:space="preserve">RRM relaxations for RedCap devices were discussed extensively in RP#91e, but a clear WI objective could not be defined as there are no recommendations in the TR regarding this topic. Therefore it was decided in the plenary to task RAN2 to downselect from the various options listed in the TR as highlighted below </w:t>
      </w:r>
      <w:r>
        <w:rPr>
          <w:bCs/>
        </w:rPr>
        <w:fldChar w:fldCharType="begin"/>
      </w:r>
      <w:r>
        <w:rPr>
          <w:bCs/>
        </w:rPr>
        <w:instrText xml:space="preserve"> REF _Ref68181389 \r \h </w:instrText>
      </w:r>
      <w:r>
        <w:rPr>
          <w:bCs/>
        </w:rPr>
      </w:r>
      <w:r>
        <w:rPr>
          <w:bCs/>
        </w:rPr>
        <w:fldChar w:fldCharType="separate"/>
      </w:r>
      <w:r>
        <w:rPr>
          <w:bCs/>
        </w:rPr>
        <w:t>[1]</w:t>
      </w:r>
      <w:r>
        <w:rPr>
          <w:bCs/>
        </w:rPr>
        <w:fldChar w:fldCharType="end"/>
      </w:r>
      <w:r>
        <w:rPr>
          <w:bCs/>
        </w:rPr>
        <w:t>:</w:t>
      </w:r>
    </w:p>
    <w:p w:rsidR="00F37A29" w:rsidRDefault="00F37A29" w:rsidP="004D0D1C">
      <w:pPr>
        <w:tabs>
          <w:tab w:val="num" w:pos="2160"/>
        </w:tabs>
        <w:spacing w:after="0"/>
        <w:jc w:val="both"/>
        <w:rPr>
          <w:bCs/>
        </w:rPr>
      </w:pPr>
      <w:r w:rsidRPr="00F37A29">
        <w:rPr>
          <w:bCs/>
          <w:noProof/>
          <w:lang w:eastAsia="en-GB"/>
        </w:rPr>
        <mc:AlternateContent>
          <mc:Choice Requires="wps">
            <w:drawing>
              <wp:anchor distT="45720" distB="45720" distL="114300" distR="114300" simplePos="0" relativeHeight="251661312" behindDoc="0" locked="0" layoutInCell="1" allowOverlap="1">
                <wp:simplePos x="0" y="0"/>
                <wp:positionH relativeFrom="column">
                  <wp:posOffset>15240</wp:posOffset>
                </wp:positionH>
                <wp:positionV relativeFrom="paragraph">
                  <wp:posOffset>213360</wp:posOffset>
                </wp:positionV>
                <wp:extent cx="611505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rsidR="00F37A29" w:rsidRPr="00F37A29" w:rsidRDefault="00F37A29" w:rsidP="00F37A29">
                            <w:pPr>
                              <w:numPr>
                                <w:ilvl w:val="0"/>
                                <w:numId w:val="33"/>
                              </w:numPr>
                              <w:overflowPunct w:val="0"/>
                              <w:autoSpaceDE w:val="0"/>
                              <w:autoSpaceDN w:val="0"/>
                              <w:adjustRightInd w:val="0"/>
                              <w:jc w:val="both"/>
                              <w:rPr>
                                <w:rFonts w:eastAsia="SimSun"/>
                                <w:bCs/>
                                <w:i/>
                                <w:lang w:val="en-US" w:eastAsia="ja-JP"/>
                              </w:rPr>
                            </w:pPr>
                            <w:r w:rsidRPr="00F37A29">
                              <w:rPr>
                                <w:rFonts w:eastAsia="SimSun"/>
                                <w:bCs/>
                                <w:i/>
                                <w:lang w:val="en-US" w:eastAsia="ja-JP"/>
                              </w:rPr>
                              <w:t>RRM relaxations for neighbouring cells for RedCap devices: for RRC_Idle/Inactive/Connected, considering the alternatives identified in the RedCap SI:</w:t>
                            </w:r>
                          </w:p>
                          <w:p w:rsidR="00F37A29" w:rsidRPr="00F37A29" w:rsidRDefault="00F37A29" w:rsidP="00F37A29">
                            <w:pPr>
                              <w:numPr>
                                <w:ilvl w:val="1"/>
                                <w:numId w:val="33"/>
                              </w:numPr>
                              <w:overflowPunct w:val="0"/>
                              <w:autoSpaceDE w:val="0"/>
                              <w:autoSpaceDN w:val="0"/>
                              <w:adjustRightInd w:val="0"/>
                              <w:jc w:val="both"/>
                              <w:rPr>
                                <w:rFonts w:eastAsia="SimSun"/>
                                <w:bCs/>
                                <w:i/>
                                <w:lang w:val="en-US" w:eastAsia="ja-JP"/>
                              </w:rPr>
                            </w:pPr>
                            <w:r w:rsidRPr="00F37A29">
                              <w:rPr>
                                <w:rFonts w:eastAsia="SimSun"/>
                                <w:bCs/>
                                <w:i/>
                                <w:highlight w:val="yellow"/>
                                <w:lang w:val="en-US" w:eastAsia="ja-JP"/>
                              </w:rPr>
                              <w:t>Study until RAN#92e, and, if agreed, specify RRM measurement relaxation criteria</w:t>
                            </w:r>
                            <w:r w:rsidRPr="00F37A29">
                              <w:rPr>
                                <w:rFonts w:eastAsia="SimSun"/>
                                <w:bCs/>
                                <w:i/>
                                <w:lang w:val="en-US" w:eastAsia="ja-JP"/>
                              </w:rPr>
                              <w:t xml:space="preserve"> (where, for RRC_Idle/Inactive the Rel-16 mechanism is the baseline, and for RRC_Connected the mechanism reuses the Rel-16 RRM relaxation criteria from RRC_Idle/Inactive so as to maximize the commonality with Idle/Inactive UEs) [RAN2]</w:t>
                            </w:r>
                          </w:p>
                          <w:p w:rsidR="00F37A29" w:rsidRPr="00F37A29" w:rsidRDefault="00F37A29" w:rsidP="00F37A29">
                            <w:pPr>
                              <w:numPr>
                                <w:ilvl w:val="2"/>
                                <w:numId w:val="33"/>
                              </w:numPr>
                              <w:overflowPunct w:val="0"/>
                              <w:autoSpaceDE w:val="0"/>
                              <w:autoSpaceDN w:val="0"/>
                              <w:adjustRightInd w:val="0"/>
                              <w:jc w:val="both"/>
                              <w:rPr>
                                <w:rFonts w:eastAsia="SimSun"/>
                                <w:bCs/>
                                <w:i/>
                                <w:lang w:val="en-US" w:eastAsia="ja-JP"/>
                              </w:rPr>
                            </w:pPr>
                            <w:r w:rsidRPr="00F37A29">
                              <w:rPr>
                                <w:rFonts w:eastAsia="SimSun"/>
                                <w:bCs/>
                                <w:i/>
                                <w:lang w:val="en-US" w:eastAsia="ja-JP"/>
                              </w:rPr>
                              <w:t>Enabling/disabling of RRM relaxation should be under the network’s control. Specify both broadcast and dedicated signalling for enabling/disabling of RRM relaxation.</w:t>
                            </w:r>
                          </w:p>
                          <w:p w:rsidR="00F37A29" w:rsidRPr="00F37A29" w:rsidRDefault="00F37A29" w:rsidP="00F37A29">
                            <w:pPr>
                              <w:numPr>
                                <w:ilvl w:val="1"/>
                                <w:numId w:val="33"/>
                              </w:numPr>
                              <w:overflowPunct w:val="0"/>
                              <w:autoSpaceDE w:val="0"/>
                              <w:autoSpaceDN w:val="0"/>
                              <w:adjustRightInd w:val="0"/>
                              <w:jc w:val="both"/>
                              <w:rPr>
                                <w:rFonts w:eastAsia="SimSun"/>
                                <w:bCs/>
                                <w:i/>
                                <w:lang w:val="en-US" w:eastAsia="ja-JP"/>
                              </w:rPr>
                            </w:pPr>
                            <w:r w:rsidRPr="00F37A29">
                              <w:rPr>
                                <w:rFonts w:eastAsia="SimSun"/>
                                <w:bCs/>
                                <w:i/>
                                <w:highlight w:val="yellow"/>
                                <w:lang w:val="en-US" w:eastAsia="ja-JP"/>
                              </w:rPr>
                              <w:t>After RAN#92e, if agreed in RAN2, specify RRM measurement relaxation</w:t>
                            </w:r>
                            <w:r w:rsidRPr="00F37A29">
                              <w:rPr>
                                <w:rFonts w:eastAsia="SimSun"/>
                                <w:bCs/>
                                <w:i/>
                                <w:lang w:val="en-US" w:eastAsia="ja-JP"/>
                              </w:rPr>
                              <w:t xml:space="preserve"> [RAN4]</w:t>
                            </w:r>
                          </w:p>
                          <w:p w:rsidR="00F37A29" w:rsidRPr="00F37A29" w:rsidRDefault="00F37A29" w:rsidP="00D57E3B">
                            <w:pPr>
                              <w:numPr>
                                <w:ilvl w:val="1"/>
                                <w:numId w:val="33"/>
                              </w:numPr>
                              <w:overflowPunct w:val="0"/>
                              <w:autoSpaceDE w:val="0"/>
                              <w:autoSpaceDN w:val="0"/>
                              <w:adjustRightInd w:val="0"/>
                              <w:jc w:val="both"/>
                              <w:rPr>
                                <w:i/>
                              </w:rPr>
                            </w:pPr>
                            <w:r w:rsidRPr="00F37A29">
                              <w:rPr>
                                <w:rFonts w:eastAsia="SimSun"/>
                                <w:bCs/>
                                <w:i/>
                                <w:lang w:val="en-US" w:eastAsia="ja-JP"/>
                              </w:rPr>
                              <w:t xml:space="preserve">No RRM relaxations are specified for the serving cell.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2pt;margin-top:16.8pt;width:481.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">
                <v:textbox style="mso-fit-shape-to-text:t">
                  <w:txbxContent>
                    <w:p w:rsidR="00F37A29" w:rsidRPr="00F37A29" w:rsidRDefault="00F37A29" w:rsidP="00F37A29">
                      <w:pPr>
                        <w:numPr>
                          <w:ilvl w:val="0"/>
                          <w:numId w:val="33"/>
                        </w:numPr>
                        <w:overflowPunct w:val="0"/>
                        <w:autoSpaceDE w:val="0"/>
                        <w:autoSpaceDN w:val="0"/>
                        <w:adjustRightInd w:val="0"/>
                        <w:jc w:val="both"/>
                        <w:rPr>
                          <w:rFonts w:eastAsia="SimSun"/>
                          <w:bCs/>
                          <w:i/>
                          <w:lang w:val="en-US" w:eastAsia="ja-JP"/>
                        </w:rPr>
                      </w:pPr>
                      <w:r w:rsidRPr="00F37A29">
                        <w:rPr>
                          <w:rFonts w:eastAsia="SimSun"/>
                          <w:bCs/>
                          <w:i/>
                          <w:lang w:val="en-US" w:eastAsia="ja-JP"/>
                        </w:rPr>
                        <w:t>RRM relaxations for neighbouring cells for RedCap devices: for RRC_Idle/Inactive/Connected, considering the alternatives identified in the RedCap SI:</w:t>
                      </w:r>
                    </w:p>
                    <w:p w:rsidR="00F37A29" w:rsidRPr="00F37A29" w:rsidRDefault="00F37A29" w:rsidP="00F37A29">
                      <w:pPr>
                        <w:numPr>
                          <w:ilvl w:val="1"/>
                          <w:numId w:val="33"/>
                        </w:numPr>
                        <w:overflowPunct w:val="0"/>
                        <w:autoSpaceDE w:val="0"/>
                        <w:autoSpaceDN w:val="0"/>
                        <w:adjustRightInd w:val="0"/>
                        <w:jc w:val="both"/>
                        <w:rPr>
                          <w:rFonts w:eastAsia="SimSun"/>
                          <w:bCs/>
                          <w:i/>
                          <w:lang w:val="en-US" w:eastAsia="ja-JP"/>
                        </w:rPr>
                      </w:pPr>
                      <w:r w:rsidRPr="00F37A29">
                        <w:rPr>
                          <w:rFonts w:eastAsia="SimSun"/>
                          <w:bCs/>
                          <w:i/>
                          <w:highlight w:val="yellow"/>
                          <w:lang w:val="en-US" w:eastAsia="ja-JP"/>
                        </w:rPr>
                        <w:t>Study until RAN#92e, and, if agreed, specify RRM measurement relaxation criteria</w:t>
                      </w:r>
                      <w:r w:rsidRPr="00F37A29">
                        <w:rPr>
                          <w:rFonts w:eastAsia="SimSun"/>
                          <w:bCs/>
                          <w:i/>
                          <w:lang w:val="en-US" w:eastAsia="ja-JP"/>
                        </w:rPr>
                        <w:t xml:space="preserve"> (where, for RRC_Idle/Inactive the Rel-16 mechanism is the baseline, and for RRC_Connected the mechanism reuses the Rel-16 RRM relaxation criteria from RRC_Idle/Inactive so as to maximize the commonality with Idle/Inactive UEs) [RAN2]</w:t>
                      </w:r>
                    </w:p>
                    <w:p w:rsidR="00F37A29" w:rsidRPr="00F37A29" w:rsidRDefault="00F37A29" w:rsidP="00F37A29">
                      <w:pPr>
                        <w:numPr>
                          <w:ilvl w:val="2"/>
                          <w:numId w:val="33"/>
                        </w:numPr>
                        <w:overflowPunct w:val="0"/>
                        <w:autoSpaceDE w:val="0"/>
                        <w:autoSpaceDN w:val="0"/>
                        <w:adjustRightInd w:val="0"/>
                        <w:jc w:val="both"/>
                        <w:rPr>
                          <w:rFonts w:eastAsia="SimSun"/>
                          <w:bCs/>
                          <w:i/>
                          <w:lang w:val="en-US" w:eastAsia="ja-JP"/>
                        </w:rPr>
                      </w:pPr>
                      <w:r w:rsidRPr="00F37A29">
                        <w:rPr>
                          <w:rFonts w:eastAsia="SimSun"/>
                          <w:bCs/>
                          <w:i/>
                          <w:lang w:val="en-US" w:eastAsia="ja-JP"/>
                        </w:rPr>
                        <w:t>Enabling/disabling of RRM relaxation should be under the network’s control. Specify both broadcast and dedicated signalling for enabling/disabling of RRM relaxation.</w:t>
                      </w:r>
                    </w:p>
                    <w:p w:rsidR="00F37A29" w:rsidRPr="00F37A29" w:rsidRDefault="00F37A29" w:rsidP="00F37A29">
                      <w:pPr>
                        <w:numPr>
                          <w:ilvl w:val="1"/>
                          <w:numId w:val="33"/>
                        </w:numPr>
                        <w:overflowPunct w:val="0"/>
                        <w:autoSpaceDE w:val="0"/>
                        <w:autoSpaceDN w:val="0"/>
                        <w:adjustRightInd w:val="0"/>
                        <w:jc w:val="both"/>
                        <w:rPr>
                          <w:rFonts w:eastAsia="SimSun"/>
                          <w:bCs/>
                          <w:i/>
                          <w:lang w:val="en-US" w:eastAsia="ja-JP"/>
                        </w:rPr>
                      </w:pPr>
                      <w:r w:rsidRPr="00F37A29">
                        <w:rPr>
                          <w:rFonts w:eastAsia="SimSun"/>
                          <w:bCs/>
                          <w:i/>
                          <w:highlight w:val="yellow"/>
                          <w:lang w:val="en-US" w:eastAsia="ja-JP"/>
                        </w:rPr>
                        <w:t>After RAN#92e, if agreed in RAN2, specify RRM measurement relaxation</w:t>
                      </w:r>
                      <w:r w:rsidRPr="00F37A29">
                        <w:rPr>
                          <w:rFonts w:eastAsia="SimSun"/>
                          <w:bCs/>
                          <w:i/>
                          <w:lang w:val="en-US" w:eastAsia="ja-JP"/>
                        </w:rPr>
                        <w:t xml:space="preserve"> [RAN4]</w:t>
                      </w:r>
                    </w:p>
                    <w:p w:rsidR="00F37A29" w:rsidRPr="00F37A29" w:rsidRDefault="00F37A29" w:rsidP="00D57E3B">
                      <w:pPr>
                        <w:numPr>
                          <w:ilvl w:val="1"/>
                          <w:numId w:val="33"/>
                        </w:numPr>
                        <w:overflowPunct w:val="0"/>
                        <w:autoSpaceDE w:val="0"/>
                        <w:autoSpaceDN w:val="0"/>
                        <w:adjustRightInd w:val="0"/>
                        <w:jc w:val="both"/>
                        <w:rPr>
                          <w:i/>
                        </w:rPr>
                      </w:pPr>
                      <w:r w:rsidRPr="00F37A29">
                        <w:rPr>
                          <w:rFonts w:eastAsia="SimSun"/>
                          <w:bCs/>
                          <w:i/>
                          <w:lang w:val="en-US" w:eastAsia="ja-JP"/>
                        </w:rPr>
                        <w:t xml:space="preserve">No RRM relaxations are specified for the serving cell. </w:t>
                      </w:r>
                    </w:p>
                  </w:txbxContent>
                </v:textbox>
                <w10:wrap type="square"/>
              </v:shape>
            </w:pict>
          </mc:Fallback>
        </mc:AlternateContent>
      </w:r>
    </w:p>
    <w:p w:rsidR="004D0D1C" w:rsidRDefault="00F37A29" w:rsidP="004D0D1C">
      <w:pPr>
        <w:tabs>
          <w:tab w:val="num" w:pos="2160"/>
        </w:tabs>
        <w:spacing w:after="0"/>
        <w:jc w:val="both"/>
        <w:rPr>
          <w:bCs/>
        </w:rPr>
      </w:pPr>
      <w:r>
        <w:rPr>
          <w:bCs/>
        </w:rPr>
        <w:t>It is therefore imperative that RAN2 provides some clear recommendations on the way forward with respect to RRM relaxation by RP#92e. In order to have a clear WI objective that can be completed in the Rel-17 timeframe, we provide our recommendations in this document.</w:t>
      </w:r>
    </w:p>
    <w:p w:rsidR="007134D5" w:rsidRDefault="0065544C" w:rsidP="0065544C">
      <w:pPr>
        <w:pStyle w:val="Heading1"/>
        <w:rPr>
          <w:lang w:eastAsia="ko-KR"/>
        </w:rPr>
      </w:pPr>
      <w:r w:rsidRPr="0065544C">
        <w:rPr>
          <w:lang w:eastAsia="ko-KR"/>
        </w:rPr>
        <w:t>Discussion</w:t>
      </w:r>
    </w:p>
    <w:p w:rsidR="005423F0" w:rsidRDefault="005423F0" w:rsidP="00EA0244">
      <w:pPr>
        <w:jc w:val="both"/>
      </w:pPr>
      <w:r>
        <w:t xml:space="preserve">To start with, it is useful to point out the reason for introducing RRM relaxations in RedCap. The related SI objective </w:t>
      </w:r>
      <w:r w:rsidR="007C147A">
        <w:fldChar w:fldCharType="begin"/>
      </w:r>
      <w:r w:rsidR="007C147A">
        <w:instrText xml:space="preserve"> REF _Ref57638737 \r \h </w:instrText>
      </w:r>
      <w:r w:rsidR="007C147A">
        <w:fldChar w:fldCharType="separate"/>
      </w:r>
      <w:r w:rsidR="007C147A">
        <w:t>[2]</w:t>
      </w:r>
      <w:r w:rsidR="007C147A">
        <w:fldChar w:fldCharType="end"/>
      </w:r>
      <w:r w:rsidR="007C147A">
        <w:t xml:space="preserve"> </w:t>
      </w:r>
      <w:r>
        <w:t>is copied below for reference.</w:t>
      </w:r>
      <w:r w:rsidR="007C147A">
        <w:t xml:space="preserve"> This feature is meant to address optimisations for stationary devices, and this can be used as a guidance to reach a recommendation, i.e. does the </w:t>
      </w:r>
      <w:r w:rsidR="00561B3B">
        <w:t xml:space="preserve">recommended </w:t>
      </w:r>
      <w:r w:rsidR="007C147A">
        <w:t>solution meet this objective</w:t>
      </w:r>
      <w:r w:rsidR="00561B3B">
        <w:t xml:space="preserve"> or not</w:t>
      </w:r>
      <w:r w:rsidR="007C147A">
        <w:t>.</w:t>
      </w:r>
    </w:p>
    <w:p w:rsidR="005423F0" w:rsidRPr="005423F0" w:rsidRDefault="005423F0" w:rsidP="005423F0">
      <w:pPr>
        <w:pBdr>
          <w:top w:val="single" w:sz="4" w:space="1" w:color="auto"/>
          <w:left w:val="single" w:sz="4" w:space="4" w:color="auto"/>
          <w:bottom w:val="single" w:sz="4" w:space="1" w:color="auto"/>
          <w:right w:val="single" w:sz="4" w:space="4" w:color="auto"/>
        </w:pBdr>
        <w:jc w:val="both"/>
        <w:rPr>
          <w:i/>
        </w:rPr>
      </w:pPr>
      <w:r w:rsidRPr="005423F0">
        <w:rPr>
          <w:i/>
        </w:rPr>
        <w:t xml:space="preserve">Study UE power saving and battery lifetime enhancement for reduced capability UEs in applicable use cases (e.g. delay tolerant) [RAN2, RAN1]: </w:t>
      </w:r>
    </w:p>
    <w:p w:rsidR="005423F0" w:rsidRPr="005423F0" w:rsidRDefault="005423F0" w:rsidP="005423F0">
      <w:pPr>
        <w:pBdr>
          <w:top w:val="single" w:sz="4" w:space="1" w:color="auto"/>
          <w:left w:val="single" w:sz="4" w:space="4" w:color="auto"/>
          <w:bottom w:val="single" w:sz="4" w:space="1" w:color="auto"/>
          <w:right w:val="single" w:sz="4" w:space="4" w:color="auto"/>
        </w:pBdr>
        <w:jc w:val="both"/>
        <w:rPr>
          <w:i/>
        </w:rPr>
      </w:pPr>
      <w:r w:rsidRPr="005423F0">
        <w:rPr>
          <w:i/>
        </w:rPr>
        <w:t>•</w:t>
      </w:r>
      <w:r w:rsidRPr="005423F0">
        <w:rPr>
          <w:i/>
        </w:rPr>
        <w:tab/>
        <w:t xml:space="preserve">RRM relaxation </w:t>
      </w:r>
      <w:r w:rsidRPr="007C147A">
        <w:rPr>
          <w:i/>
          <w:highlight w:val="yellow"/>
        </w:rPr>
        <w:t>for stationary devices</w:t>
      </w:r>
      <w:r w:rsidRPr="005423F0">
        <w:rPr>
          <w:i/>
        </w:rPr>
        <w:t xml:space="preserve"> [RAN2]</w:t>
      </w:r>
    </w:p>
    <w:p w:rsidR="007C147A" w:rsidRDefault="00317728" w:rsidP="00EA0244">
      <w:pPr>
        <w:jc w:val="both"/>
      </w:pPr>
      <w:r>
        <w:t xml:space="preserve">While there are several options listed in the TR </w:t>
      </w:r>
      <w:r>
        <w:fldChar w:fldCharType="begin"/>
      </w:r>
      <w:r>
        <w:instrText xml:space="preserve"> REF _Ref57639034 \r \h </w:instrText>
      </w:r>
      <w:r>
        <w:fldChar w:fldCharType="separate"/>
      </w:r>
      <w:r>
        <w:t>[3]</w:t>
      </w:r>
      <w:r>
        <w:fldChar w:fldCharType="end"/>
      </w:r>
      <w:r>
        <w:t xml:space="preserve"> as solutions to trigger RRM relaxations, they can be largely classified into 3 groups:</w:t>
      </w:r>
    </w:p>
    <w:p w:rsidR="00317728" w:rsidRPr="002F00DC" w:rsidRDefault="00317728" w:rsidP="00EA0244">
      <w:pPr>
        <w:jc w:val="both"/>
        <w:rPr>
          <w:i/>
          <w:u w:val="single"/>
        </w:rPr>
      </w:pPr>
      <w:r w:rsidRPr="002F00DC">
        <w:rPr>
          <w:i/>
          <w:u w:val="single"/>
        </w:rPr>
        <w:t xml:space="preserve">1. Extend the Rel-16 baseline with </w:t>
      </w:r>
      <w:r w:rsidR="00D24B87">
        <w:rPr>
          <w:i/>
          <w:u w:val="single"/>
        </w:rPr>
        <w:t>additional</w:t>
      </w:r>
      <w:r w:rsidRPr="002F00DC">
        <w:rPr>
          <w:i/>
          <w:u w:val="single"/>
        </w:rPr>
        <w:t xml:space="preserve"> settings</w:t>
      </w:r>
    </w:p>
    <w:p w:rsidR="003D6AB5" w:rsidRDefault="00317728" w:rsidP="00EA0244">
      <w:pPr>
        <w:jc w:val="both"/>
      </w:pPr>
      <w:r>
        <w:t>It is important to note that in Rel-16, RRM relaxations for UEs in Idle/Inactive state with low mobility have already been defined. The trigger for RRM relaxation in Rel-16 is based on the variance of the downlink signal strength</w:t>
      </w:r>
      <w:r w:rsidR="003D6AB5">
        <w:t>, and if the UE is at cell-edge or not</w:t>
      </w:r>
      <w:r>
        <w:t xml:space="preserve">. </w:t>
      </w:r>
      <w:r w:rsidR="002F00DC">
        <w:t>Enhancements 1, 2 and 5</w:t>
      </w:r>
      <w:r>
        <w:t xml:space="preserve"> discussed in </w:t>
      </w:r>
      <w:r w:rsidR="002F00DC">
        <w:t xml:space="preserve">section 8.4.2 in </w:t>
      </w:r>
      <w:r>
        <w:t xml:space="preserve">the TR </w:t>
      </w:r>
      <w:r>
        <w:fldChar w:fldCharType="begin"/>
      </w:r>
      <w:r>
        <w:instrText xml:space="preserve"> REF _Ref57639034 \r \h </w:instrText>
      </w:r>
      <w:r>
        <w:fldChar w:fldCharType="separate"/>
      </w:r>
      <w:r>
        <w:t>[3]</w:t>
      </w:r>
      <w:r>
        <w:fldChar w:fldCharType="end"/>
      </w:r>
      <w:r>
        <w:t xml:space="preserve"> take this approach further </w:t>
      </w:r>
      <w:r w:rsidR="002F00DC">
        <w:t>by defining</w:t>
      </w:r>
      <w:r>
        <w:t xml:space="preserve"> </w:t>
      </w:r>
      <w:r w:rsidR="002F00DC">
        <w:t xml:space="preserve">additional </w:t>
      </w:r>
      <w:r>
        <w:t xml:space="preserve">thresholds of ‘variance’ to have a two-step approach for further RRM relaxations. </w:t>
      </w:r>
    </w:p>
    <w:p w:rsidR="002F00DC" w:rsidRDefault="002F00DC" w:rsidP="00EA0244">
      <w:pPr>
        <w:jc w:val="both"/>
      </w:pPr>
      <w:r>
        <w:t>However, as noted in the TR, these options cannot reliably distinguish between truly stationary UEs and UEs with low mobility. Considering this downside associated with this option, these options to trigger RRM relaxation cannot be considered suitable to meet the SI objective. Therefore we propose to disregard this option for the WI.</w:t>
      </w:r>
    </w:p>
    <w:p w:rsidR="002F00DC" w:rsidRPr="002F00DC" w:rsidRDefault="002F00DC" w:rsidP="00EA0244">
      <w:pPr>
        <w:jc w:val="both"/>
        <w:rPr>
          <w:b/>
        </w:rPr>
      </w:pPr>
      <w:r w:rsidRPr="002F00DC">
        <w:rPr>
          <w:b/>
        </w:rPr>
        <w:lastRenderedPageBreak/>
        <w:t xml:space="preserve">Observation 1: RRM relaxation triggers that introduce additional thresholds for speed evaluation do not reliably distinguish between stationary UEs and UEs with limited mobility. </w:t>
      </w:r>
    </w:p>
    <w:p w:rsidR="003D6AB5" w:rsidRDefault="003D6AB5" w:rsidP="00C842F7">
      <w:pPr>
        <w:jc w:val="both"/>
        <w:rPr>
          <w:i/>
          <w:u w:val="single"/>
        </w:rPr>
      </w:pPr>
    </w:p>
    <w:p w:rsidR="00C842F7" w:rsidRPr="00C842F7" w:rsidRDefault="00C842F7" w:rsidP="00C842F7">
      <w:pPr>
        <w:jc w:val="both"/>
        <w:rPr>
          <w:i/>
          <w:u w:val="single"/>
        </w:rPr>
      </w:pPr>
      <w:r w:rsidRPr="00C842F7">
        <w:rPr>
          <w:i/>
          <w:u w:val="single"/>
        </w:rPr>
        <w:t xml:space="preserve">2. Use number of beam changes </w:t>
      </w:r>
    </w:p>
    <w:p w:rsidR="00C842F7" w:rsidRDefault="00C842F7" w:rsidP="00C842F7">
      <w:pPr>
        <w:jc w:val="both"/>
      </w:pPr>
      <w:r>
        <w:t>This option relies on the number of beam changes to determine UE mobility. However, this option once again is fuzzy at differentiating between truly stationary devices and UEs with limited mobility. Furthermore, beam level measurements fluctuate significantly more than cell level measurements, and as such is a worse option than what we have in Rel-16. Therefore we propose to disregard this option for the WI as well.</w:t>
      </w:r>
    </w:p>
    <w:p w:rsidR="00C842F7" w:rsidRPr="00C842F7" w:rsidRDefault="00C842F7" w:rsidP="00C842F7">
      <w:pPr>
        <w:jc w:val="both"/>
        <w:rPr>
          <w:b/>
        </w:rPr>
      </w:pPr>
      <w:r w:rsidRPr="00C842F7">
        <w:rPr>
          <w:b/>
        </w:rPr>
        <w:t>Observation 2: RRM relaxation triggers based on beam changes also do not reliably distinguish between stationary UEs and UEs with limited mobility, and suffer from further disadvantages due to high levels of fluctuation in beam-level measurements.</w:t>
      </w:r>
    </w:p>
    <w:p w:rsidR="003D6AB5" w:rsidRDefault="003D6AB5" w:rsidP="00EA0244">
      <w:pPr>
        <w:jc w:val="both"/>
        <w:rPr>
          <w:i/>
          <w:u w:val="single"/>
        </w:rPr>
      </w:pPr>
    </w:p>
    <w:p w:rsidR="00317728" w:rsidRPr="002F00DC" w:rsidRDefault="00C842F7" w:rsidP="00EA0244">
      <w:pPr>
        <w:jc w:val="both"/>
        <w:rPr>
          <w:i/>
          <w:u w:val="single"/>
        </w:rPr>
      </w:pPr>
      <w:r>
        <w:rPr>
          <w:i/>
          <w:u w:val="single"/>
        </w:rPr>
        <w:t>3</w:t>
      </w:r>
      <w:r w:rsidR="00317728" w:rsidRPr="002F00DC">
        <w:rPr>
          <w:i/>
          <w:u w:val="single"/>
        </w:rPr>
        <w:t>. Preconfigured stationary property</w:t>
      </w:r>
    </w:p>
    <w:p w:rsidR="00C842F7" w:rsidRDefault="002F00DC" w:rsidP="002F00DC">
      <w:pPr>
        <w:jc w:val="both"/>
      </w:pPr>
      <w:r>
        <w:t xml:space="preserve">Enhancements 4 and 6 in section 8.4.2 of the TR </w:t>
      </w:r>
      <w:r>
        <w:fldChar w:fldCharType="begin"/>
      </w:r>
      <w:r>
        <w:instrText xml:space="preserve"> REF _Ref57638737 \r \h </w:instrText>
      </w:r>
      <w:r>
        <w:fldChar w:fldCharType="separate"/>
      </w:r>
      <w:r>
        <w:t>[2]</w:t>
      </w:r>
      <w:r>
        <w:fldChar w:fldCharType="end"/>
      </w:r>
      <w:r>
        <w:t xml:space="preserve"> depend on a preconfigured stationary property. Rather than duplicating the Rel-16 approach (which are anyways available for RedCap operation), these options trigger RRM relaxations using information that’s configured at deployment (e.g. using subscription information) to enable further relaxations without relying on downlink measurements. </w:t>
      </w:r>
    </w:p>
    <w:p w:rsidR="00C842F7" w:rsidRDefault="002F00DC" w:rsidP="002F00DC">
      <w:pPr>
        <w:jc w:val="both"/>
      </w:pPr>
      <w:r>
        <w:t xml:space="preserve">For situations corresponding to RedCap use-cases, such as in Industrial scenarios or surveillance systems, this ‘stationary’ property can be pre-configured in the device, or be configured at deployment depending on </w:t>
      </w:r>
      <w:r w:rsidR="003D6AB5">
        <w:t>deployment</w:t>
      </w:r>
      <w:r>
        <w:t>.</w:t>
      </w:r>
      <w:r w:rsidR="00C842F7">
        <w:t xml:space="preserve"> These options can be reliably used to </w:t>
      </w:r>
      <w:r w:rsidR="003D6AB5">
        <w:t xml:space="preserve">distinguish between </w:t>
      </w:r>
      <w:r w:rsidR="00C842F7">
        <w:t xml:space="preserve">‘truly stationary’ devices and devices with ‘limited mobility’, and therefore meet the RedCap SI objective. </w:t>
      </w:r>
    </w:p>
    <w:p w:rsidR="00C842F7" w:rsidRPr="00C842F7" w:rsidRDefault="00C842F7" w:rsidP="00C842F7">
      <w:pPr>
        <w:jc w:val="both"/>
        <w:rPr>
          <w:b/>
        </w:rPr>
      </w:pPr>
      <w:r w:rsidRPr="00C842F7">
        <w:rPr>
          <w:b/>
        </w:rPr>
        <w:t>Observation 3: A stationary property that’s part of UE subscription information can reliably distinguish between stationary UEs and UEs with limited mobility.</w:t>
      </w:r>
    </w:p>
    <w:p w:rsidR="008341C2" w:rsidRDefault="008341C2" w:rsidP="002F00DC">
      <w:pPr>
        <w:jc w:val="both"/>
      </w:pPr>
      <w:r>
        <w:t xml:space="preserve">Furthermore, </w:t>
      </w:r>
      <w:r w:rsidR="00C842F7">
        <w:t xml:space="preserve">Rel-16 based measurement relaxation triggers can easily distinguish between whether </w:t>
      </w:r>
      <w:r>
        <w:t xml:space="preserve">a UE </w:t>
      </w:r>
      <w:r w:rsidR="00C842F7">
        <w:t>is at cell-edge or not.</w:t>
      </w:r>
      <w:r>
        <w:t xml:space="preserve"> </w:t>
      </w:r>
      <w:r w:rsidR="003D6AB5">
        <w:t xml:space="preserve">On </w:t>
      </w:r>
      <w:r>
        <w:t>combining the preconfigured ‘stationary’ property with Rel-16 triggers, the disadvantage noted in the TR with regards to UEs at cell edge can be easily avoid</w:t>
      </w:r>
      <w:r w:rsidR="003D6AB5">
        <w:t>ed</w:t>
      </w:r>
      <w:r>
        <w:t>.</w:t>
      </w:r>
      <w:r w:rsidR="00C842F7">
        <w:t xml:space="preserve"> </w:t>
      </w:r>
    </w:p>
    <w:p w:rsidR="008341C2" w:rsidRPr="008341C2" w:rsidRDefault="008341C2" w:rsidP="002F00DC">
      <w:pPr>
        <w:jc w:val="both"/>
        <w:rPr>
          <w:b/>
        </w:rPr>
      </w:pPr>
      <w:r w:rsidRPr="008341C2">
        <w:rPr>
          <w:b/>
        </w:rPr>
        <w:t>Observation 4: When combined with Rel-16 triggers, RRM relaxation based on a ‘stationary’ property can easily distinguish between cell-centre and cell-edge UE deployment.</w:t>
      </w:r>
    </w:p>
    <w:p w:rsidR="008341C2" w:rsidRDefault="008341C2" w:rsidP="008341C2">
      <w:pPr>
        <w:jc w:val="both"/>
      </w:pPr>
      <w:r>
        <w:t xml:space="preserve">Considering these arguments, we propose to go forward with this option in the RedCap WI, as it is the only option that </w:t>
      </w:r>
      <w:r w:rsidR="003D6AB5">
        <w:t xml:space="preserve">reliably </w:t>
      </w:r>
      <w:r>
        <w:t>addresses the SI objective.</w:t>
      </w:r>
    </w:p>
    <w:p w:rsidR="002F00DC" w:rsidRDefault="00C842F7" w:rsidP="002F00DC">
      <w:pPr>
        <w:jc w:val="both"/>
        <w:rPr>
          <w:b/>
        </w:rPr>
      </w:pPr>
      <w:r>
        <w:rPr>
          <w:b/>
        </w:rPr>
        <w:t>Proposal 1</w:t>
      </w:r>
      <w:r w:rsidR="002F00DC" w:rsidRPr="00EA0244">
        <w:rPr>
          <w:b/>
        </w:rPr>
        <w:t xml:space="preserve">: </w:t>
      </w:r>
      <w:r w:rsidR="002F00DC">
        <w:rPr>
          <w:b/>
        </w:rPr>
        <w:t xml:space="preserve">RedCap </w:t>
      </w:r>
      <w:r w:rsidR="002F00DC" w:rsidRPr="00EA0244">
        <w:rPr>
          <w:b/>
        </w:rPr>
        <w:t xml:space="preserve">devices use subscription information (e.g. </w:t>
      </w:r>
      <w:r w:rsidR="002F00DC">
        <w:rPr>
          <w:b/>
        </w:rPr>
        <w:t xml:space="preserve">in </w:t>
      </w:r>
      <w:r w:rsidR="002F00DC" w:rsidRPr="00EA0244">
        <w:rPr>
          <w:b/>
        </w:rPr>
        <w:t>USIM) to trigger RRM relaxations.</w:t>
      </w:r>
    </w:p>
    <w:p w:rsidR="00B629DA" w:rsidRDefault="00B629DA" w:rsidP="00B629DA">
      <w:pPr>
        <w:pStyle w:val="Heading1"/>
        <w:rPr>
          <w:lang w:val="en-US"/>
        </w:rPr>
      </w:pPr>
      <w:r w:rsidRPr="00B629DA">
        <w:rPr>
          <w:lang w:val="en-US"/>
        </w:rPr>
        <w:t>Conclusion</w:t>
      </w:r>
    </w:p>
    <w:p w:rsidR="00B629DA" w:rsidRDefault="00B629DA" w:rsidP="001F791F">
      <w:pPr>
        <w:jc w:val="both"/>
        <w:rPr>
          <w:lang w:val="en-US"/>
        </w:rPr>
      </w:pPr>
      <w:r>
        <w:rPr>
          <w:lang w:val="en-US"/>
        </w:rPr>
        <w:t xml:space="preserve">In this contribution, we </w:t>
      </w:r>
      <w:r w:rsidR="008341C2">
        <w:rPr>
          <w:lang w:val="en-US"/>
        </w:rPr>
        <w:t xml:space="preserve">look at means to reduce the scope of RRM </w:t>
      </w:r>
      <w:r w:rsidR="0075343C">
        <w:rPr>
          <w:lang w:val="en-US"/>
        </w:rPr>
        <w:t xml:space="preserve">relaxation </w:t>
      </w:r>
      <w:r w:rsidR="008341C2">
        <w:rPr>
          <w:lang w:val="en-US"/>
        </w:rPr>
        <w:t xml:space="preserve">discussions to have a clear WI direction. We note the following observations. </w:t>
      </w:r>
    </w:p>
    <w:p w:rsidR="0075343C" w:rsidRPr="002F00DC" w:rsidRDefault="0075343C" w:rsidP="0075343C">
      <w:pPr>
        <w:jc w:val="both"/>
        <w:rPr>
          <w:b/>
        </w:rPr>
      </w:pPr>
      <w:r w:rsidRPr="002F00DC">
        <w:rPr>
          <w:b/>
        </w:rPr>
        <w:t xml:space="preserve">Observation 1: RRM relaxation triggers that introduce additional thresholds for speed evaluation do not reliably distinguish between stationary UEs and UEs with limited mobility. </w:t>
      </w:r>
    </w:p>
    <w:p w:rsidR="0075343C" w:rsidRPr="00C842F7" w:rsidRDefault="0075343C" w:rsidP="0075343C">
      <w:pPr>
        <w:jc w:val="both"/>
        <w:rPr>
          <w:b/>
        </w:rPr>
      </w:pPr>
      <w:r w:rsidRPr="00C842F7">
        <w:rPr>
          <w:b/>
        </w:rPr>
        <w:t>Observation 2: RRM relaxation triggers based on beam changes also do not reliably distinguish between stationary UEs and UEs with limited mobility, and suffer from further disadvantages due to high levels of fluctuation in beam-level measurements.</w:t>
      </w:r>
    </w:p>
    <w:p w:rsidR="0075343C" w:rsidRPr="00C842F7" w:rsidRDefault="0075343C" w:rsidP="0075343C">
      <w:pPr>
        <w:jc w:val="both"/>
        <w:rPr>
          <w:b/>
        </w:rPr>
      </w:pPr>
      <w:r w:rsidRPr="00C842F7">
        <w:rPr>
          <w:b/>
        </w:rPr>
        <w:t>Observation 3: A stationary property that’s part of UE subscription information can reliably distinguish between stationary UEs and UEs with limited mobility.</w:t>
      </w:r>
    </w:p>
    <w:p w:rsidR="0075343C" w:rsidRPr="008341C2" w:rsidRDefault="0075343C" w:rsidP="0075343C">
      <w:pPr>
        <w:jc w:val="both"/>
        <w:rPr>
          <w:b/>
        </w:rPr>
      </w:pPr>
      <w:r w:rsidRPr="008341C2">
        <w:rPr>
          <w:b/>
        </w:rPr>
        <w:t>Observation 4: When combined with Rel-16 triggers, RRM relaxation based on a ‘stationary’ property can easily distinguish between cell-centre and cell-edge UE deployment.</w:t>
      </w:r>
    </w:p>
    <w:p w:rsidR="008341C2" w:rsidRPr="008341C2" w:rsidRDefault="008341C2" w:rsidP="008341C2">
      <w:pPr>
        <w:jc w:val="both"/>
        <w:rPr>
          <w:b/>
        </w:rPr>
      </w:pPr>
      <w:r>
        <w:rPr>
          <w:lang w:val="en-US"/>
        </w:rPr>
        <w:t>Based on the observations above, we have the following proposal.</w:t>
      </w:r>
    </w:p>
    <w:p w:rsidR="008341C2" w:rsidRDefault="008341C2" w:rsidP="008341C2">
      <w:pPr>
        <w:jc w:val="both"/>
        <w:rPr>
          <w:b/>
        </w:rPr>
      </w:pPr>
      <w:r>
        <w:rPr>
          <w:b/>
        </w:rPr>
        <w:lastRenderedPageBreak/>
        <w:t>Proposal 1</w:t>
      </w:r>
      <w:r w:rsidRPr="00EA0244">
        <w:rPr>
          <w:b/>
        </w:rPr>
        <w:t xml:space="preserve">: </w:t>
      </w:r>
      <w:r>
        <w:rPr>
          <w:b/>
        </w:rPr>
        <w:t xml:space="preserve">RedCap </w:t>
      </w:r>
      <w:r w:rsidRPr="00EA0244">
        <w:rPr>
          <w:b/>
        </w:rPr>
        <w:t xml:space="preserve">devices use subscription information (e.g. </w:t>
      </w:r>
      <w:r>
        <w:rPr>
          <w:b/>
        </w:rPr>
        <w:t xml:space="preserve">in </w:t>
      </w:r>
      <w:r w:rsidRPr="00EA0244">
        <w:rPr>
          <w:b/>
        </w:rPr>
        <w:t>USIM) to trigger RRM relaxations.</w:t>
      </w:r>
    </w:p>
    <w:p w:rsidR="00B47516" w:rsidRDefault="00B47516" w:rsidP="009E1EB8">
      <w:pPr>
        <w:spacing w:after="60"/>
        <w:jc w:val="both"/>
        <w:rPr>
          <w:lang w:val="en-US"/>
        </w:rPr>
      </w:pPr>
    </w:p>
    <w:p w:rsidR="002D44AF" w:rsidRPr="00B300C3" w:rsidRDefault="002D44AF" w:rsidP="002D44AF">
      <w:pPr>
        <w:pStyle w:val="Heading1"/>
        <w:rPr>
          <w:lang w:val="en-US"/>
        </w:rPr>
      </w:pPr>
      <w:r>
        <w:rPr>
          <w:rFonts w:hint="eastAsia"/>
          <w:lang w:val="en-US" w:eastAsia="zh-TW"/>
        </w:rPr>
        <w:t>References</w:t>
      </w:r>
    </w:p>
    <w:p w:rsidR="00F37A29" w:rsidRDefault="00F37A29" w:rsidP="00F37A29">
      <w:pPr>
        <w:numPr>
          <w:ilvl w:val="0"/>
          <w:numId w:val="2"/>
        </w:numPr>
        <w:spacing w:after="0"/>
        <w:jc w:val="both"/>
        <w:rPr>
          <w:lang w:val="en-US" w:eastAsia="zh-TW"/>
        </w:rPr>
      </w:pPr>
      <w:bookmarkStart w:id="3" w:name="_Ref68181389"/>
      <w:bookmarkStart w:id="4" w:name="_Ref57638715"/>
      <w:r w:rsidRPr="00F37A29">
        <w:rPr>
          <w:lang w:val="en-US" w:eastAsia="zh-TW"/>
        </w:rPr>
        <w:t>RP-210918</w:t>
      </w:r>
      <w:r>
        <w:rPr>
          <w:lang w:val="en-US" w:eastAsia="zh-TW"/>
        </w:rPr>
        <w:t xml:space="preserve"> “</w:t>
      </w:r>
      <w:r w:rsidRPr="00F37A29">
        <w:rPr>
          <w:lang w:val="en-US" w:eastAsia="zh-TW"/>
        </w:rPr>
        <w:t>Revised WID on support of reduced capability NR devices</w:t>
      </w:r>
      <w:r>
        <w:rPr>
          <w:lang w:val="en-US" w:eastAsia="zh-TW"/>
        </w:rPr>
        <w:t>”, Nokia, Ericsson, March 2021</w:t>
      </w:r>
      <w:bookmarkEnd w:id="3"/>
    </w:p>
    <w:p w:rsidR="00BA097C" w:rsidRPr="00BA097C" w:rsidRDefault="00BA097C" w:rsidP="00BA097C">
      <w:pPr>
        <w:numPr>
          <w:ilvl w:val="0"/>
          <w:numId w:val="2"/>
        </w:numPr>
        <w:spacing w:after="0"/>
        <w:jc w:val="both"/>
        <w:rPr>
          <w:lang w:val="en-US" w:eastAsia="zh-TW"/>
        </w:rPr>
      </w:pPr>
      <w:bookmarkStart w:id="5" w:name="_Ref57638737"/>
      <w:bookmarkEnd w:id="4"/>
      <w:r w:rsidRPr="00BA097C">
        <w:rPr>
          <w:lang w:val="en-US" w:eastAsia="zh-TW"/>
        </w:rPr>
        <w:t>RP-201386 “Revised SID on Study on support of reduced capability NR devices”, Ericsson, RAN#88e, July 2020</w:t>
      </w:r>
      <w:bookmarkEnd w:id="5"/>
    </w:p>
    <w:p w:rsidR="00191120" w:rsidRPr="00317728" w:rsidRDefault="00E627B3" w:rsidP="00E627B3">
      <w:pPr>
        <w:numPr>
          <w:ilvl w:val="0"/>
          <w:numId w:val="2"/>
        </w:numPr>
        <w:spacing w:after="0"/>
        <w:jc w:val="both"/>
        <w:rPr>
          <w:lang w:val="en-US" w:eastAsia="zh-TW"/>
        </w:rPr>
      </w:pPr>
      <w:bookmarkStart w:id="6" w:name="_Ref57639034"/>
      <w:r w:rsidRPr="00317728">
        <w:rPr>
          <w:lang w:val="en-US" w:eastAsia="zh-TW"/>
        </w:rPr>
        <w:t>“TR 38.875 - Study on support o</w:t>
      </w:r>
      <w:r w:rsidR="00317728">
        <w:rPr>
          <w:lang w:val="en-US" w:eastAsia="zh-TW"/>
        </w:rPr>
        <w:t>f reduced capability NR devices</w:t>
      </w:r>
      <w:r w:rsidRPr="00317728">
        <w:rPr>
          <w:lang w:val="en-US" w:eastAsia="zh-TW"/>
        </w:rPr>
        <w:t>”</w:t>
      </w:r>
      <w:bookmarkEnd w:id="6"/>
    </w:p>
    <w:sectPr w:rsidR="00191120" w:rsidRPr="00317728" w:rsidSect="00252EB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80B" w:rsidRDefault="004C480B">
      <w:r>
        <w:separator/>
      </w:r>
    </w:p>
  </w:endnote>
  <w:endnote w:type="continuationSeparator" w:id="0">
    <w:p w:rsidR="004C480B" w:rsidRDefault="004C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88B" w:rsidRDefault="005548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88B" w:rsidRDefault="0055488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88B" w:rsidRDefault="005548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80B" w:rsidRDefault="004C480B">
      <w:r>
        <w:separator/>
      </w:r>
    </w:p>
  </w:footnote>
  <w:footnote w:type="continuationSeparator" w:id="0">
    <w:p w:rsidR="004C480B" w:rsidRDefault="004C48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88B" w:rsidRDefault="005548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88B" w:rsidRDefault="005548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88B" w:rsidRDefault="005548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83FCF5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D6D88"/>
    <w:multiLevelType w:val="hybridMultilevel"/>
    <w:tmpl w:val="B40CE5C2"/>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4B71AD4"/>
    <w:multiLevelType w:val="hybridMultilevel"/>
    <w:tmpl w:val="B4A4AF7A"/>
    <w:lvl w:ilvl="0" w:tplc="04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3427963"/>
    <w:multiLevelType w:val="hybridMultilevel"/>
    <w:tmpl w:val="5994FD96"/>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203140"/>
    <w:multiLevelType w:val="hybridMultilevel"/>
    <w:tmpl w:val="0C9AD4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004E58"/>
    <w:multiLevelType w:val="hybridMultilevel"/>
    <w:tmpl w:val="808851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34EBD"/>
    <w:multiLevelType w:val="hybridMultilevel"/>
    <w:tmpl w:val="D444B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48EF3D49"/>
    <w:multiLevelType w:val="hybridMultilevel"/>
    <w:tmpl w:val="A7866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D93525"/>
    <w:multiLevelType w:val="hybridMultilevel"/>
    <w:tmpl w:val="1DB2B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3" w15:restartNumberingAfterBreak="0">
    <w:nsid w:val="621C1BB4"/>
    <w:multiLevelType w:val="hybridMultilevel"/>
    <w:tmpl w:val="176E4ABA"/>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EC67D9"/>
    <w:multiLevelType w:val="hybridMultilevel"/>
    <w:tmpl w:val="722C8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E552AE"/>
    <w:multiLevelType w:val="hybridMultilevel"/>
    <w:tmpl w:val="58BE0116"/>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F524D0D"/>
    <w:multiLevelType w:val="hybridMultilevel"/>
    <w:tmpl w:val="5E36A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8"/>
  </w:num>
  <w:num w:numId="4">
    <w:abstractNumId w:val="30"/>
  </w:num>
  <w:num w:numId="5">
    <w:abstractNumId w:val="2"/>
  </w:num>
  <w:num w:numId="6">
    <w:abstractNumId w:val="27"/>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5"/>
  </w:num>
  <w:num w:numId="10">
    <w:abstractNumId w:val="18"/>
    <w:lvlOverride w:ilvl="0">
      <w:startOverride w:val="2"/>
    </w:lvlOverride>
  </w:num>
  <w:num w:numId="11">
    <w:abstractNumId w:val="10"/>
  </w:num>
  <w:num w:numId="12">
    <w:abstractNumId w:val="29"/>
  </w:num>
  <w:num w:numId="13">
    <w:abstractNumId w:val="0"/>
  </w:num>
  <w:num w:numId="14">
    <w:abstractNumId w:val="21"/>
  </w:num>
  <w:num w:numId="15">
    <w:abstractNumId w:val="24"/>
  </w:num>
  <w:num w:numId="16">
    <w:abstractNumId w:val="15"/>
  </w:num>
  <w:num w:numId="17">
    <w:abstractNumId w:val="6"/>
  </w:num>
  <w:num w:numId="18">
    <w:abstractNumId w:val="1"/>
  </w:num>
  <w:num w:numId="19">
    <w:abstractNumId w:val="8"/>
  </w:num>
  <w:num w:numId="20">
    <w:abstractNumId w:val="19"/>
  </w:num>
  <w:num w:numId="21">
    <w:abstractNumId w:val="14"/>
  </w:num>
  <w:num w:numId="22">
    <w:abstractNumId w:val="13"/>
  </w:num>
  <w:num w:numId="23">
    <w:abstractNumId w:val="31"/>
  </w:num>
  <w:num w:numId="24">
    <w:abstractNumId w:val="25"/>
  </w:num>
  <w:num w:numId="25">
    <w:abstractNumId w:val="11"/>
  </w:num>
  <w:num w:numId="26">
    <w:abstractNumId w:val="4"/>
  </w:num>
  <w:num w:numId="27">
    <w:abstractNumId w:val="26"/>
  </w:num>
  <w:num w:numId="28">
    <w:abstractNumId w:val="7"/>
  </w:num>
  <w:num w:numId="29">
    <w:abstractNumId w:val="3"/>
  </w:num>
  <w:num w:numId="30">
    <w:abstractNumId w:val="23"/>
  </w:num>
  <w:num w:numId="31">
    <w:abstractNumId w:val="12"/>
  </w:num>
  <w:num w:numId="32">
    <w:abstractNumId w:val="20"/>
  </w:num>
  <w:num w:numId="3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3DA9"/>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768"/>
    <w:rsid w:val="00067AA5"/>
    <w:rsid w:val="000709CD"/>
    <w:rsid w:val="00071B7C"/>
    <w:rsid w:val="000728B9"/>
    <w:rsid w:val="00072D4C"/>
    <w:rsid w:val="00074BF1"/>
    <w:rsid w:val="00075A79"/>
    <w:rsid w:val="000774DF"/>
    <w:rsid w:val="00077C63"/>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3CF"/>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0CC"/>
    <w:rsid w:val="000D06B4"/>
    <w:rsid w:val="000D0E67"/>
    <w:rsid w:val="000D1E67"/>
    <w:rsid w:val="000D1E9A"/>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393B"/>
    <w:rsid w:val="00114A5F"/>
    <w:rsid w:val="00115249"/>
    <w:rsid w:val="00116720"/>
    <w:rsid w:val="001200EA"/>
    <w:rsid w:val="001206F8"/>
    <w:rsid w:val="00121161"/>
    <w:rsid w:val="001211BC"/>
    <w:rsid w:val="00121877"/>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2F61"/>
    <w:rsid w:val="001534BC"/>
    <w:rsid w:val="00153528"/>
    <w:rsid w:val="001541D5"/>
    <w:rsid w:val="00154A79"/>
    <w:rsid w:val="001560E8"/>
    <w:rsid w:val="0015718A"/>
    <w:rsid w:val="00161258"/>
    <w:rsid w:val="00161646"/>
    <w:rsid w:val="00163735"/>
    <w:rsid w:val="00163852"/>
    <w:rsid w:val="00164444"/>
    <w:rsid w:val="0016596F"/>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1F791F"/>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1D4B"/>
    <w:rsid w:val="00243F00"/>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67CA7"/>
    <w:rsid w:val="00272308"/>
    <w:rsid w:val="00274E1A"/>
    <w:rsid w:val="00275B50"/>
    <w:rsid w:val="00275BD6"/>
    <w:rsid w:val="00275E1D"/>
    <w:rsid w:val="00276F76"/>
    <w:rsid w:val="002770F4"/>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FB4"/>
    <w:rsid w:val="002A0DAC"/>
    <w:rsid w:val="002A283C"/>
    <w:rsid w:val="002A2935"/>
    <w:rsid w:val="002A2D8B"/>
    <w:rsid w:val="002A4261"/>
    <w:rsid w:val="002A4C60"/>
    <w:rsid w:val="002A56B9"/>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0DC"/>
    <w:rsid w:val="002F01C0"/>
    <w:rsid w:val="002F030F"/>
    <w:rsid w:val="002F2B29"/>
    <w:rsid w:val="002F300C"/>
    <w:rsid w:val="002F3BD7"/>
    <w:rsid w:val="002F4093"/>
    <w:rsid w:val="002F40CC"/>
    <w:rsid w:val="002F428E"/>
    <w:rsid w:val="002F4689"/>
    <w:rsid w:val="002F63F6"/>
    <w:rsid w:val="002F7D50"/>
    <w:rsid w:val="00300A1E"/>
    <w:rsid w:val="00300D2E"/>
    <w:rsid w:val="00302C96"/>
    <w:rsid w:val="003041B0"/>
    <w:rsid w:val="003052DA"/>
    <w:rsid w:val="003068AB"/>
    <w:rsid w:val="003071FF"/>
    <w:rsid w:val="0030783F"/>
    <w:rsid w:val="003108C3"/>
    <w:rsid w:val="00313089"/>
    <w:rsid w:val="003140CB"/>
    <w:rsid w:val="00315DFA"/>
    <w:rsid w:val="003168BC"/>
    <w:rsid w:val="00317728"/>
    <w:rsid w:val="00317783"/>
    <w:rsid w:val="003210CC"/>
    <w:rsid w:val="0032165D"/>
    <w:rsid w:val="003230B0"/>
    <w:rsid w:val="003232A5"/>
    <w:rsid w:val="00323842"/>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7724"/>
    <w:rsid w:val="00367D08"/>
    <w:rsid w:val="0037097E"/>
    <w:rsid w:val="00370A22"/>
    <w:rsid w:val="003745BC"/>
    <w:rsid w:val="00377B02"/>
    <w:rsid w:val="00377BDE"/>
    <w:rsid w:val="00380F82"/>
    <w:rsid w:val="003826D3"/>
    <w:rsid w:val="0038417D"/>
    <w:rsid w:val="00384502"/>
    <w:rsid w:val="00384B7B"/>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3B61"/>
    <w:rsid w:val="003D40E4"/>
    <w:rsid w:val="003D4535"/>
    <w:rsid w:val="003D5DA3"/>
    <w:rsid w:val="003D64DB"/>
    <w:rsid w:val="003D6AB5"/>
    <w:rsid w:val="003D716A"/>
    <w:rsid w:val="003E040F"/>
    <w:rsid w:val="003E05F6"/>
    <w:rsid w:val="003E39EA"/>
    <w:rsid w:val="003E461D"/>
    <w:rsid w:val="003E4FFB"/>
    <w:rsid w:val="003E5EAB"/>
    <w:rsid w:val="003E5F52"/>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38EF"/>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707C7"/>
    <w:rsid w:val="004714C0"/>
    <w:rsid w:val="00471B1E"/>
    <w:rsid w:val="00472056"/>
    <w:rsid w:val="0047248D"/>
    <w:rsid w:val="0047478B"/>
    <w:rsid w:val="00474A93"/>
    <w:rsid w:val="0047578E"/>
    <w:rsid w:val="00475B13"/>
    <w:rsid w:val="00476FC9"/>
    <w:rsid w:val="0048179B"/>
    <w:rsid w:val="00481B8C"/>
    <w:rsid w:val="004825DC"/>
    <w:rsid w:val="00482CB5"/>
    <w:rsid w:val="00484428"/>
    <w:rsid w:val="00485876"/>
    <w:rsid w:val="00486E44"/>
    <w:rsid w:val="00487CBA"/>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80B"/>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CDA"/>
    <w:rsid w:val="00535777"/>
    <w:rsid w:val="005359E5"/>
    <w:rsid w:val="00535F75"/>
    <w:rsid w:val="00536562"/>
    <w:rsid w:val="00536AB5"/>
    <w:rsid w:val="005400D0"/>
    <w:rsid w:val="005406D9"/>
    <w:rsid w:val="005412AC"/>
    <w:rsid w:val="005423F0"/>
    <w:rsid w:val="005428E8"/>
    <w:rsid w:val="00551B47"/>
    <w:rsid w:val="005530F6"/>
    <w:rsid w:val="005534EE"/>
    <w:rsid w:val="0055488B"/>
    <w:rsid w:val="00554F6D"/>
    <w:rsid w:val="00556A55"/>
    <w:rsid w:val="00561966"/>
    <w:rsid w:val="00561B3B"/>
    <w:rsid w:val="00563111"/>
    <w:rsid w:val="00564539"/>
    <w:rsid w:val="005724AC"/>
    <w:rsid w:val="00575876"/>
    <w:rsid w:val="005758C6"/>
    <w:rsid w:val="00577349"/>
    <w:rsid w:val="00577842"/>
    <w:rsid w:val="00580009"/>
    <w:rsid w:val="00580522"/>
    <w:rsid w:val="005806AA"/>
    <w:rsid w:val="00580EF2"/>
    <w:rsid w:val="00581415"/>
    <w:rsid w:val="00583150"/>
    <w:rsid w:val="00584D0C"/>
    <w:rsid w:val="005856A4"/>
    <w:rsid w:val="005860E1"/>
    <w:rsid w:val="0058668B"/>
    <w:rsid w:val="0058674B"/>
    <w:rsid w:val="00586BDE"/>
    <w:rsid w:val="005878A5"/>
    <w:rsid w:val="00591048"/>
    <w:rsid w:val="005937DC"/>
    <w:rsid w:val="00593800"/>
    <w:rsid w:val="00595B59"/>
    <w:rsid w:val="005A023B"/>
    <w:rsid w:val="005A0429"/>
    <w:rsid w:val="005A10BB"/>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363E"/>
    <w:rsid w:val="006945D8"/>
    <w:rsid w:val="006A1C03"/>
    <w:rsid w:val="006A5938"/>
    <w:rsid w:val="006A7B82"/>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59A"/>
    <w:rsid w:val="006D586B"/>
    <w:rsid w:val="006D5D2B"/>
    <w:rsid w:val="006D69C6"/>
    <w:rsid w:val="006D762A"/>
    <w:rsid w:val="006E0979"/>
    <w:rsid w:val="006E50C9"/>
    <w:rsid w:val="006E6BF4"/>
    <w:rsid w:val="006E7B14"/>
    <w:rsid w:val="006F2CE0"/>
    <w:rsid w:val="007001C8"/>
    <w:rsid w:val="007027D0"/>
    <w:rsid w:val="00702D49"/>
    <w:rsid w:val="007033C1"/>
    <w:rsid w:val="007033E6"/>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343C"/>
    <w:rsid w:val="00755538"/>
    <w:rsid w:val="00755EDF"/>
    <w:rsid w:val="007602AE"/>
    <w:rsid w:val="00760503"/>
    <w:rsid w:val="00761C44"/>
    <w:rsid w:val="007627AF"/>
    <w:rsid w:val="00763228"/>
    <w:rsid w:val="007644DE"/>
    <w:rsid w:val="00764A0E"/>
    <w:rsid w:val="00764A29"/>
    <w:rsid w:val="0076592F"/>
    <w:rsid w:val="00765976"/>
    <w:rsid w:val="0077340D"/>
    <w:rsid w:val="00773C45"/>
    <w:rsid w:val="0077458B"/>
    <w:rsid w:val="00774A2B"/>
    <w:rsid w:val="00775B54"/>
    <w:rsid w:val="00775E94"/>
    <w:rsid w:val="00776320"/>
    <w:rsid w:val="0077701C"/>
    <w:rsid w:val="00777A9B"/>
    <w:rsid w:val="00777BBC"/>
    <w:rsid w:val="00777DAE"/>
    <w:rsid w:val="00777F66"/>
    <w:rsid w:val="0078098C"/>
    <w:rsid w:val="0078108A"/>
    <w:rsid w:val="00781B2C"/>
    <w:rsid w:val="00782219"/>
    <w:rsid w:val="00783FA8"/>
    <w:rsid w:val="00784117"/>
    <w:rsid w:val="0078602A"/>
    <w:rsid w:val="007860F9"/>
    <w:rsid w:val="00786436"/>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147A"/>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4E0A"/>
    <w:rsid w:val="007E7820"/>
    <w:rsid w:val="007E791F"/>
    <w:rsid w:val="007F0E1E"/>
    <w:rsid w:val="007F1890"/>
    <w:rsid w:val="007F5E10"/>
    <w:rsid w:val="007F62EA"/>
    <w:rsid w:val="007F7C99"/>
    <w:rsid w:val="008004A9"/>
    <w:rsid w:val="008014FC"/>
    <w:rsid w:val="0080168B"/>
    <w:rsid w:val="0080184F"/>
    <w:rsid w:val="00801F03"/>
    <w:rsid w:val="00803723"/>
    <w:rsid w:val="008041B2"/>
    <w:rsid w:val="008056C8"/>
    <w:rsid w:val="00806C5F"/>
    <w:rsid w:val="00807D4E"/>
    <w:rsid w:val="00813364"/>
    <w:rsid w:val="0081359C"/>
    <w:rsid w:val="00814B66"/>
    <w:rsid w:val="00816505"/>
    <w:rsid w:val="008169D9"/>
    <w:rsid w:val="00820C50"/>
    <w:rsid w:val="00820C8C"/>
    <w:rsid w:val="008215E2"/>
    <w:rsid w:val="00822512"/>
    <w:rsid w:val="00823592"/>
    <w:rsid w:val="0082598F"/>
    <w:rsid w:val="008269C4"/>
    <w:rsid w:val="0082795C"/>
    <w:rsid w:val="008329B6"/>
    <w:rsid w:val="00834153"/>
    <w:rsid w:val="008341C2"/>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4E10"/>
    <w:rsid w:val="008773E3"/>
    <w:rsid w:val="0087757C"/>
    <w:rsid w:val="008776D2"/>
    <w:rsid w:val="0088139B"/>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35B9"/>
    <w:rsid w:val="008B382D"/>
    <w:rsid w:val="008B3BD9"/>
    <w:rsid w:val="008C0413"/>
    <w:rsid w:val="008C163F"/>
    <w:rsid w:val="008C2A5D"/>
    <w:rsid w:val="008C3442"/>
    <w:rsid w:val="008C60E9"/>
    <w:rsid w:val="008C7939"/>
    <w:rsid w:val="008C7F27"/>
    <w:rsid w:val="008D1112"/>
    <w:rsid w:val="008D170D"/>
    <w:rsid w:val="008D3F4C"/>
    <w:rsid w:val="008D455D"/>
    <w:rsid w:val="008D6A8C"/>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640"/>
    <w:rsid w:val="00922E39"/>
    <w:rsid w:val="009241CD"/>
    <w:rsid w:val="0092780E"/>
    <w:rsid w:val="009305A0"/>
    <w:rsid w:val="00930751"/>
    <w:rsid w:val="00930878"/>
    <w:rsid w:val="00930C93"/>
    <w:rsid w:val="0093302B"/>
    <w:rsid w:val="00933368"/>
    <w:rsid w:val="00934F9C"/>
    <w:rsid w:val="00936088"/>
    <w:rsid w:val="009367DB"/>
    <w:rsid w:val="0093767B"/>
    <w:rsid w:val="00937794"/>
    <w:rsid w:val="00945A15"/>
    <w:rsid w:val="009461CC"/>
    <w:rsid w:val="0094697D"/>
    <w:rsid w:val="00947318"/>
    <w:rsid w:val="00947627"/>
    <w:rsid w:val="0094778E"/>
    <w:rsid w:val="00950F0C"/>
    <w:rsid w:val="0095102F"/>
    <w:rsid w:val="0095462C"/>
    <w:rsid w:val="00954DF6"/>
    <w:rsid w:val="00955C2B"/>
    <w:rsid w:val="00956F4B"/>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1EB8"/>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66BD"/>
    <w:rsid w:val="00A775D5"/>
    <w:rsid w:val="00A80271"/>
    <w:rsid w:val="00A80E5A"/>
    <w:rsid w:val="00A8132F"/>
    <w:rsid w:val="00A814D0"/>
    <w:rsid w:val="00A81B15"/>
    <w:rsid w:val="00A829DD"/>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A0AB4"/>
    <w:rsid w:val="00AA127E"/>
    <w:rsid w:val="00AA36D8"/>
    <w:rsid w:val="00AA4F2D"/>
    <w:rsid w:val="00AA596D"/>
    <w:rsid w:val="00AA63BB"/>
    <w:rsid w:val="00AA6A71"/>
    <w:rsid w:val="00AA7528"/>
    <w:rsid w:val="00AA7744"/>
    <w:rsid w:val="00AA7A65"/>
    <w:rsid w:val="00AB04AF"/>
    <w:rsid w:val="00AB0D0A"/>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1A2"/>
    <w:rsid w:val="00AD7469"/>
    <w:rsid w:val="00AE2ADB"/>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356"/>
    <w:rsid w:val="00B91AEC"/>
    <w:rsid w:val="00B94E85"/>
    <w:rsid w:val="00B95577"/>
    <w:rsid w:val="00B96889"/>
    <w:rsid w:val="00B96897"/>
    <w:rsid w:val="00BA0263"/>
    <w:rsid w:val="00BA0737"/>
    <w:rsid w:val="00BA097C"/>
    <w:rsid w:val="00BA226E"/>
    <w:rsid w:val="00BA2420"/>
    <w:rsid w:val="00BA34AB"/>
    <w:rsid w:val="00BA39EF"/>
    <w:rsid w:val="00BA41ED"/>
    <w:rsid w:val="00BA6097"/>
    <w:rsid w:val="00BA6304"/>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1C07"/>
    <w:rsid w:val="00C120DC"/>
    <w:rsid w:val="00C130F8"/>
    <w:rsid w:val="00C13326"/>
    <w:rsid w:val="00C1521F"/>
    <w:rsid w:val="00C15A6B"/>
    <w:rsid w:val="00C1603E"/>
    <w:rsid w:val="00C16577"/>
    <w:rsid w:val="00C171F1"/>
    <w:rsid w:val="00C17C5C"/>
    <w:rsid w:val="00C20175"/>
    <w:rsid w:val="00C22E78"/>
    <w:rsid w:val="00C2366B"/>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FB1"/>
    <w:rsid w:val="00C50074"/>
    <w:rsid w:val="00C51A50"/>
    <w:rsid w:val="00C52BDA"/>
    <w:rsid w:val="00C559F4"/>
    <w:rsid w:val="00C55A94"/>
    <w:rsid w:val="00C628DF"/>
    <w:rsid w:val="00C62BE9"/>
    <w:rsid w:val="00C64742"/>
    <w:rsid w:val="00C66897"/>
    <w:rsid w:val="00C7113C"/>
    <w:rsid w:val="00C71845"/>
    <w:rsid w:val="00C7254C"/>
    <w:rsid w:val="00C732C8"/>
    <w:rsid w:val="00C73AFE"/>
    <w:rsid w:val="00C75FE0"/>
    <w:rsid w:val="00C76AC8"/>
    <w:rsid w:val="00C773D8"/>
    <w:rsid w:val="00C81936"/>
    <w:rsid w:val="00C81DF2"/>
    <w:rsid w:val="00C81E2C"/>
    <w:rsid w:val="00C81F3B"/>
    <w:rsid w:val="00C82686"/>
    <w:rsid w:val="00C83C97"/>
    <w:rsid w:val="00C842F7"/>
    <w:rsid w:val="00C84722"/>
    <w:rsid w:val="00C8492D"/>
    <w:rsid w:val="00C8645B"/>
    <w:rsid w:val="00C90779"/>
    <w:rsid w:val="00C90DF8"/>
    <w:rsid w:val="00C92E43"/>
    <w:rsid w:val="00C9360C"/>
    <w:rsid w:val="00C942F0"/>
    <w:rsid w:val="00C9464E"/>
    <w:rsid w:val="00C96BA3"/>
    <w:rsid w:val="00C973E3"/>
    <w:rsid w:val="00CA1039"/>
    <w:rsid w:val="00CA4F52"/>
    <w:rsid w:val="00CA5E21"/>
    <w:rsid w:val="00CA7C45"/>
    <w:rsid w:val="00CB044C"/>
    <w:rsid w:val="00CB0504"/>
    <w:rsid w:val="00CB4372"/>
    <w:rsid w:val="00CB5A7C"/>
    <w:rsid w:val="00CC05FC"/>
    <w:rsid w:val="00CC21C4"/>
    <w:rsid w:val="00CC34AB"/>
    <w:rsid w:val="00CC36DF"/>
    <w:rsid w:val="00CC3EF2"/>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1DD"/>
    <w:rsid w:val="00CD7889"/>
    <w:rsid w:val="00CE05F2"/>
    <w:rsid w:val="00CE09A3"/>
    <w:rsid w:val="00CE30A4"/>
    <w:rsid w:val="00CE3C2C"/>
    <w:rsid w:val="00CE3F09"/>
    <w:rsid w:val="00CE4360"/>
    <w:rsid w:val="00CE4A84"/>
    <w:rsid w:val="00CE4C83"/>
    <w:rsid w:val="00CE5E6A"/>
    <w:rsid w:val="00CE7B9B"/>
    <w:rsid w:val="00CF35F4"/>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B87"/>
    <w:rsid w:val="00D24D0D"/>
    <w:rsid w:val="00D26C8A"/>
    <w:rsid w:val="00D26DD0"/>
    <w:rsid w:val="00D27607"/>
    <w:rsid w:val="00D279F4"/>
    <w:rsid w:val="00D27A4E"/>
    <w:rsid w:val="00D31C83"/>
    <w:rsid w:val="00D32160"/>
    <w:rsid w:val="00D33AC1"/>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BB0"/>
    <w:rsid w:val="00E22FB8"/>
    <w:rsid w:val="00E230D0"/>
    <w:rsid w:val="00E24BB7"/>
    <w:rsid w:val="00E25DB7"/>
    <w:rsid w:val="00E26B1F"/>
    <w:rsid w:val="00E32650"/>
    <w:rsid w:val="00E33CF3"/>
    <w:rsid w:val="00E345FB"/>
    <w:rsid w:val="00E34D20"/>
    <w:rsid w:val="00E35051"/>
    <w:rsid w:val="00E35097"/>
    <w:rsid w:val="00E37664"/>
    <w:rsid w:val="00E4089B"/>
    <w:rsid w:val="00E43410"/>
    <w:rsid w:val="00E43A77"/>
    <w:rsid w:val="00E45F4B"/>
    <w:rsid w:val="00E46642"/>
    <w:rsid w:val="00E46F11"/>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A01F0"/>
    <w:rsid w:val="00EA0244"/>
    <w:rsid w:val="00EA088B"/>
    <w:rsid w:val="00EA166B"/>
    <w:rsid w:val="00EA1E1D"/>
    <w:rsid w:val="00EA2004"/>
    <w:rsid w:val="00EA3C24"/>
    <w:rsid w:val="00EA4465"/>
    <w:rsid w:val="00EA497A"/>
    <w:rsid w:val="00EA5997"/>
    <w:rsid w:val="00EA5E4B"/>
    <w:rsid w:val="00EA707C"/>
    <w:rsid w:val="00EA794A"/>
    <w:rsid w:val="00EB04FF"/>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37A29"/>
    <w:rsid w:val="00F4069C"/>
    <w:rsid w:val="00F415BB"/>
    <w:rsid w:val="00F42BDF"/>
    <w:rsid w:val="00F44187"/>
    <w:rsid w:val="00F44841"/>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13D"/>
    <w:rsid w:val="00FD1F20"/>
    <w:rsid w:val="00FD45BD"/>
    <w:rsid w:val="00FD4DF8"/>
    <w:rsid w:val="00FD5543"/>
    <w:rsid w:val="00FD5595"/>
    <w:rsid w:val="00FD63E5"/>
    <w:rsid w:val="00FD769A"/>
    <w:rsid w:val="00FE17ED"/>
    <w:rsid w:val="00FE2A93"/>
    <w:rsid w:val="00FE30D7"/>
    <w:rsid w:val="00FE3C4C"/>
    <w:rsid w:val="00FE709C"/>
    <w:rsid w:val="00FE76DD"/>
    <w:rsid w:val="00FE7ADC"/>
    <w:rsid w:val="00FF0C15"/>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8923411">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1914034">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731EDA-2492-4B1C-A92C-C0900F28C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963</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2021-04-01T16:36:00Z</dcterms:created>
  <dcterms:modified xsi:type="dcterms:W3CDTF">2021-04-01T16:36:00Z</dcterms:modified>
</cp:coreProperties>
</file>